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496" w:rsidRDefault="00B836A1">
      <w:pPr>
        <w:pStyle w:val="Heading1"/>
        <w:spacing w:line="240" w:lineRule="auto"/>
        <w:jc w:val="center"/>
      </w:pPr>
      <w:bookmarkStart w:id="0" w:name="_svm535dze0i3" w:colFirst="0" w:colLast="0"/>
      <w:bookmarkEnd w:id="0"/>
      <w:r>
        <w:t>Evaluating the quality of ECTS implementation</w:t>
      </w:r>
    </w:p>
    <w:p w:rsidR="00864496" w:rsidRDefault="00B836A1">
      <w:pPr>
        <w:jc w:val="center"/>
      </w:pPr>
      <w:r>
        <w:t>(using indicators from ECTS Users’ Guide)</w:t>
      </w:r>
    </w:p>
    <w:p w:rsidR="00864496" w:rsidRDefault="00864496">
      <w:pPr>
        <w:jc w:val="center"/>
      </w:pPr>
    </w:p>
    <w:p w:rsidR="00864496" w:rsidRDefault="00B836A1">
      <w:pPr>
        <w:pStyle w:val="Heading2"/>
        <w:rPr>
          <w:u w:val="single"/>
        </w:rPr>
      </w:pPr>
      <w:bookmarkStart w:id="1" w:name="_8yd0nuczfdtv" w:colFirst="0" w:colLast="0"/>
      <w:bookmarkEnd w:id="1"/>
      <w:r>
        <w:rPr>
          <w:u w:val="single"/>
        </w:rPr>
        <w:t>I. ECTS Implementation indicators</w:t>
      </w:r>
    </w:p>
    <w:p w:rsidR="00864496" w:rsidRDefault="00864496">
      <w:pPr>
        <w:ind w:left="720"/>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70"/>
        <w:gridCol w:w="4590"/>
      </w:tblGrid>
      <w:tr w:rsidR="00864496">
        <w:trPr>
          <w:trHeight w:val="420"/>
        </w:trPr>
        <w:tc>
          <w:tcPr>
            <w:tcW w:w="8370"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t>Indicator</w:t>
            </w:r>
          </w:p>
        </w:tc>
        <w:tc>
          <w:tcPr>
            <w:tcW w:w="4590"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t>Current level of compliance:</w:t>
            </w:r>
          </w:p>
          <w:p w:rsidR="00864496" w:rsidRDefault="00B836A1">
            <w:pPr>
              <w:widowControl w:val="0"/>
              <w:pBdr>
                <w:top w:val="nil"/>
                <w:left w:val="nil"/>
                <w:bottom w:val="nil"/>
                <w:right w:val="nil"/>
                <w:between w:val="nil"/>
              </w:pBdr>
              <w:spacing w:line="240" w:lineRule="auto"/>
            </w:pPr>
            <w:r>
              <w:t>? - I do not understand the indicator well enough to be able to assess current level of compliance at my institution</w:t>
            </w:r>
          </w:p>
          <w:p w:rsidR="00864496" w:rsidRDefault="00B836A1">
            <w:pPr>
              <w:widowControl w:val="0"/>
              <w:pBdr>
                <w:top w:val="nil"/>
                <w:left w:val="nil"/>
                <w:bottom w:val="nil"/>
                <w:right w:val="nil"/>
                <w:between w:val="nil"/>
              </w:pBdr>
              <w:spacing w:line="240" w:lineRule="auto"/>
            </w:pPr>
            <w:r>
              <w:t>0 - we have not addressed this aspect yet</w:t>
            </w:r>
          </w:p>
          <w:p w:rsidR="00864496" w:rsidRDefault="00B836A1">
            <w:pPr>
              <w:widowControl w:val="0"/>
              <w:pBdr>
                <w:top w:val="nil"/>
                <w:left w:val="nil"/>
                <w:bottom w:val="nil"/>
                <w:right w:val="nil"/>
                <w:between w:val="nil"/>
              </w:pBdr>
              <w:spacing w:line="240" w:lineRule="auto"/>
            </w:pPr>
            <w:r>
              <w:t>1 - we have tried to address this aspect but lack training to start putting it in place</w:t>
            </w:r>
          </w:p>
          <w:p w:rsidR="00864496" w:rsidRDefault="00B836A1">
            <w:pPr>
              <w:widowControl w:val="0"/>
              <w:pBdr>
                <w:top w:val="nil"/>
                <w:left w:val="nil"/>
                <w:bottom w:val="nil"/>
                <w:right w:val="nil"/>
                <w:between w:val="nil"/>
              </w:pBdr>
              <w:spacing w:line="240" w:lineRule="auto"/>
            </w:pPr>
            <w:r>
              <w:t>2 - we ha</w:t>
            </w:r>
            <w:r>
              <w:t>ve partially implemented this aspect</w:t>
            </w:r>
          </w:p>
          <w:p w:rsidR="00864496" w:rsidRDefault="00B836A1">
            <w:pPr>
              <w:widowControl w:val="0"/>
              <w:pBdr>
                <w:top w:val="nil"/>
                <w:left w:val="nil"/>
                <w:bottom w:val="nil"/>
                <w:right w:val="nil"/>
                <w:between w:val="nil"/>
              </w:pBdr>
              <w:spacing w:line="240" w:lineRule="auto"/>
            </w:pPr>
            <w:r>
              <w:t>3 - we are very close to full implementation of this aspect</w:t>
            </w:r>
          </w:p>
          <w:p w:rsidR="00864496" w:rsidRDefault="00B836A1">
            <w:pPr>
              <w:widowControl w:val="0"/>
              <w:pBdr>
                <w:top w:val="nil"/>
                <w:left w:val="nil"/>
                <w:bottom w:val="nil"/>
                <w:right w:val="nil"/>
                <w:between w:val="nil"/>
              </w:pBdr>
              <w:spacing w:line="240" w:lineRule="auto"/>
            </w:pPr>
            <w:r>
              <w:t>4 - fully in place</w:t>
            </w:r>
          </w:p>
          <w:p w:rsidR="00864496" w:rsidRDefault="00B836A1">
            <w:pPr>
              <w:widowControl w:val="0"/>
              <w:pBdr>
                <w:top w:val="nil"/>
                <w:left w:val="nil"/>
                <w:bottom w:val="nil"/>
                <w:right w:val="nil"/>
                <w:between w:val="nil"/>
              </w:pBdr>
              <w:spacing w:line="240" w:lineRule="auto"/>
            </w:pPr>
            <w:r>
              <w:t>*** If you choose 2 or 3, please explain which elements have been put in place and which are still missing and what is need to reach full im</w:t>
            </w:r>
            <w:r>
              <w:t>plementation</w:t>
            </w:r>
          </w:p>
          <w:p w:rsidR="00864496" w:rsidRDefault="00B836A1">
            <w:pPr>
              <w:widowControl w:val="0"/>
              <w:pBdr>
                <w:top w:val="nil"/>
                <w:left w:val="nil"/>
                <w:bottom w:val="nil"/>
                <w:right w:val="nil"/>
                <w:between w:val="nil"/>
              </w:pBdr>
              <w:spacing w:line="240" w:lineRule="auto"/>
            </w:pPr>
            <w:r>
              <w:t>*** If you choose “?”, please explain which part of the indicator you are not sure about</w:t>
            </w: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rPr>
                <w:b/>
              </w:rPr>
            </w:pPr>
            <w:r>
              <w:rPr>
                <w:b/>
              </w:rPr>
              <w:t xml:space="preserve">1. </w:t>
            </w:r>
            <w:r>
              <w:rPr>
                <w:rFonts w:ascii="Karbon-Regular" w:eastAsia="Karbon-Regular" w:hAnsi="Karbon-Regular" w:cs="Karbon-Regular"/>
                <w:b/>
              </w:rPr>
              <w:t>Educational components are expressed in terms of appropriate learning outcomes, and clear information is available concerning their level, credits, delivery and assessment</w:t>
            </w:r>
          </w:p>
        </w:tc>
        <w:tc>
          <w:tcPr>
            <w:tcW w:w="4590" w:type="dxa"/>
            <w:shd w:val="clear" w:color="auto" w:fill="auto"/>
            <w:tcMar>
              <w:top w:w="100" w:type="dxa"/>
              <w:left w:w="100" w:type="dxa"/>
              <w:bottom w:w="100" w:type="dxa"/>
              <w:right w:w="100" w:type="dxa"/>
            </w:tcMar>
          </w:tcPr>
          <w:p w:rsidR="00864496" w:rsidRDefault="00864496">
            <w:pPr>
              <w:widowControl w:val="0"/>
              <w:pBdr>
                <w:top w:val="nil"/>
                <w:left w:val="nil"/>
                <w:bottom w:val="nil"/>
                <w:right w:val="nil"/>
                <w:between w:val="nil"/>
              </w:pBdr>
              <w:spacing w:line="240" w:lineRule="auto"/>
              <w:jc w:val="center"/>
            </w:pPr>
          </w:p>
          <w:p w:rsidR="00864496" w:rsidRDefault="00B836A1">
            <w:pPr>
              <w:widowControl w:val="0"/>
              <w:pBdr>
                <w:top w:val="nil"/>
                <w:left w:val="nil"/>
                <w:bottom w:val="nil"/>
                <w:right w:val="nil"/>
                <w:between w:val="nil"/>
              </w:pBdr>
              <w:spacing w:line="240" w:lineRule="auto"/>
              <w:jc w:val="center"/>
            </w:pPr>
            <w:r>
              <w:t>? -- 0 -- 1 -- 2 -- 3 -- 4</w:t>
            </w: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pPr>
            <w:r>
              <w:t>Comments:</w:t>
            </w:r>
          </w:p>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lastRenderedPageBreak/>
              <w:t xml:space="preserve">2. </w:t>
            </w:r>
            <w:r>
              <w:rPr>
                <w:rFonts w:ascii="Karbon-Regular" w:eastAsia="Karbon-Regular" w:hAnsi="Karbon-Regular" w:cs="Karbon-Regular"/>
                <w:b/>
              </w:rPr>
              <w:t>Studies can be completed in the time officially allocated to them (i.e. the workload associated with an academic year, a semester, trimester or a single course component is realistic)</w:t>
            </w:r>
          </w:p>
        </w:tc>
        <w:tc>
          <w:tcPr>
            <w:tcW w:w="4590" w:type="dxa"/>
            <w:shd w:val="clear" w:color="auto" w:fill="auto"/>
            <w:tcMar>
              <w:top w:w="100" w:type="dxa"/>
              <w:left w:w="100" w:type="dxa"/>
              <w:bottom w:w="100" w:type="dxa"/>
              <w:right w:w="100" w:type="dxa"/>
            </w:tcMar>
          </w:tcPr>
          <w:p w:rsidR="00864496" w:rsidRDefault="00864496">
            <w:pPr>
              <w:widowControl w:val="0"/>
              <w:spacing w:line="240" w:lineRule="auto"/>
              <w:jc w:val="center"/>
            </w:pPr>
          </w:p>
          <w:p w:rsidR="00864496" w:rsidRDefault="00B836A1">
            <w:pPr>
              <w:widowControl w:val="0"/>
              <w:spacing w:line="240" w:lineRule="auto"/>
              <w:jc w:val="center"/>
            </w:pPr>
            <w:r>
              <w:t>? -- 0 -- 1 -- 2 -- 3 -- 4</w:t>
            </w: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spacing w:line="240" w:lineRule="auto"/>
            </w:pPr>
            <w:r>
              <w:t>Comments:</w:t>
            </w:r>
          </w:p>
          <w:p w:rsidR="00864496" w:rsidRDefault="00864496">
            <w:pPr>
              <w:widowControl w:val="0"/>
              <w:spacing w:line="240" w:lineRule="auto"/>
            </w:pPr>
          </w:p>
          <w:p w:rsidR="00864496" w:rsidRDefault="00864496">
            <w:pPr>
              <w:widowControl w:val="0"/>
              <w:spacing w:line="240" w:lineRule="auto"/>
            </w:pPr>
          </w:p>
          <w:p w:rsidR="00864496" w:rsidRDefault="00864496">
            <w:pPr>
              <w:widowControl w:val="0"/>
              <w:spacing w:line="240" w:lineRule="auto"/>
            </w:pPr>
          </w:p>
          <w:p w:rsidR="00864496" w:rsidRDefault="00864496">
            <w:pPr>
              <w:widowControl w:val="0"/>
              <w:pBdr>
                <w:top w:val="nil"/>
                <w:left w:val="nil"/>
                <w:bottom w:val="nil"/>
                <w:right w:val="nil"/>
                <w:between w:val="nil"/>
              </w:pBdr>
              <w:spacing w:line="240" w:lineRule="auto"/>
              <w:rPr>
                <w:b/>
              </w:rPr>
            </w:pP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t xml:space="preserve">3. </w:t>
            </w:r>
            <w:r>
              <w:rPr>
                <w:rFonts w:ascii="Karbon-Regular" w:eastAsia="Karbon-Regular" w:hAnsi="Karbon-Regular" w:cs="Karbon-Regular"/>
                <w:b/>
              </w:rPr>
              <w:t>Annual monitoring examines any variations in patterns of achievement and results gained and follows up with appropriate revision</w:t>
            </w:r>
          </w:p>
        </w:tc>
        <w:tc>
          <w:tcPr>
            <w:tcW w:w="4590" w:type="dxa"/>
            <w:shd w:val="clear" w:color="auto" w:fill="auto"/>
            <w:tcMar>
              <w:top w:w="100" w:type="dxa"/>
              <w:left w:w="100" w:type="dxa"/>
              <w:bottom w:w="100" w:type="dxa"/>
              <w:right w:w="100" w:type="dxa"/>
            </w:tcMar>
          </w:tcPr>
          <w:p w:rsidR="00864496" w:rsidRDefault="00864496">
            <w:pPr>
              <w:widowControl w:val="0"/>
              <w:spacing w:line="240" w:lineRule="auto"/>
              <w:jc w:val="center"/>
            </w:pPr>
          </w:p>
          <w:p w:rsidR="00864496" w:rsidRDefault="00B836A1">
            <w:pPr>
              <w:widowControl w:val="0"/>
              <w:spacing w:line="240" w:lineRule="auto"/>
              <w:jc w:val="center"/>
            </w:pPr>
            <w:r>
              <w:t>? -- 0 -- 1 -- 2 -- 3 -- 4</w:t>
            </w:r>
          </w:p>
          <w:p w:rsidR="00864496" w:rsidRDefault="00864496">
            <w:pPr>
              <w:widowControl w:val="0"/>
              <w:spacing w:line="240" w:lineRule="auto"/>
              <w:jc w:val="center"/>
            </w:pP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spacing w:line="240" w:lineRule="auto"/>
            </w:pPr>
            <w:r>
              <w:t>Comments:</w:t>
            </w:r>
          </w:p>
          <w:p w:rsidR="00864496" w:rsidRDefault="00864496">
            <w:pPr>
              <w:widowControl w:val="0"/>
              <w:spacing w:line="240" w:lineRule="auto"/>
            </w:pPr>
          </w:p>
          <w:p w:rsidR="00864496" w:rsidRDefault="00864496">
            <w:pPr>
              <w:widowControl w:val="0"/>
              <w:spacing w:line="240" w:lineRule="auto"/>
            </w:pPr>
          </w:p>
          <w:p w:rsidR="00864496" w:rsidRDefault="00864496">
            <w:pPr>
              <w:widowControl w:val="0"/>
              <w:spacing w:line="240" w:lineRule="auto"/>
            </w:pP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spacing w:line="240" w:lineRule="auto"/>
              <w:rPr>
                <w:b/>
              </w:rPr>
            </w:pPr>
            <w:r>
              <w:rPr>
                <w:rFonts w:ascii="Karbon-Regular" w:eastAsia="Karbon-Regular" w:hAnsi="Karbon-Regular" w:cs="Karbon-Regular"/>
                <w:b/>
              </w:rPr>
              <w:t>4. Students are provided with detailed information and advice so that they can follow progression rules, exploit options for flexible pathways and select educational components at an appropriate level for their qualification</w:t>
            </w:r>
          </w:p>
        </w:tc>
        <w:tc>
          <w:tcPr>
            <w:tcW w:w="4590" w:type="dxa"/>
            <w:shd w:val="clear" w:color="auto" w:fill="auto"/>
            <w:tcMar>
              <w:top w:w="100" w:type="dxa"/>
              <w:left w:w="100" w:type="dxa"/>
              <w:bottom w:w="100" w:type="dxa"/>
              <w:right w:w="100" w:type="dxa"/>
            </w:tcMar>
          </w:tcPr>
          <w:p w:rsidR="00864496" w:rsidRDefault="00864496">
            <w:pPr>
              <w:widowControl w:val="0"/>
              <w:spacing w:line="240" w:lineRule="auto"/>
              <w:jc w:val="center"/>
            </w:pPr>
          </w:p>
          <w:p w:rsidR="00864496" w:rsidRDefault="00B836A1">
            <w:pPr>
              <w:widowControl w:val="0"/>
              <w:spacing w:line="240" w:lineRule="auto"/>
              <w:jc w:val="center"/>
              <w:rPr>
                <w:b/>
              </w:rPr>
            </w:pPr>
            <w:r>
              <w:t>? -- 0 -- 1 -- 2 -- 3 -- 4</w:t>
            </w: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spacing w:line="240" w:lineRule="auto"/>
            </w:pPr>
            <w:r>
              <w:t>Comments:</w:t>
            </w:r>
          </w:p>
          <w:p w:rsidR="00864496" w:rsidRDefault="00864496">
            <w:pPr>
              <w:widowControl w:val="0"/>
              <w:spacing w:line="240" w:lineRule="auto"/>
            </w:pPr>
          </w:p>
          <w:p w:rsidR="00864496" w:rsidRDefault="00864496">
            <w:pPr>
              <w:widowControl w:val="0"/>
              <w:spacing w:line="240" w:lineRule="auto"/>
            </w:pPr>
          </w:p>
          <w:p w:rsidR="00864496" w:rsidRDefault="00864496">
            <w:pPr>
              <w:widowControl w:val="0"/>
              <w:spacing w:line="240" w:lineRule="auto"/>
            </w:pP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t xml:space="preserve">5. </w:t>
            </w:r>
            <w:r>
              <w:rPr>
                <w:rFonts w:ascii="Karbon-Regular" w:eastAsia="Karbon-Regular" w:hAnsi="Karbon-Regular" w:cs="Karbon-Regular"/>
                <w:b/>
              </w:rPr>
              <w:t>Students are informed promptly of their results</w:t>
            </w:r>
          </w:p>
        </w:tc>
        <w:tc>
          <w:tcPr>
            <w:tcW w:w="4590" w:type="dxa"/>
            <w:shd w:val="clear" w:color="auto" w:fill="auto"/>
            <w:tcMar>
              <w:top w:w="100" w:type="dxa"/>
              <w:left w:w="100" w:type="dxa"/>
              <w:bottom w:w="100" w:type="dxa"/>
              <w:right w:w="100" w:type="dxa"/>
            </w:tcMar>
          </w:tcPr>
          <w:p w:rsidR="00864496" w:rsidRDefault="00B836A1">
            <w:pPr>
              <w:widowControl w:val="0"/>
              <w:spacing w:line="240" w:lineRule="auto"/>
              <w:jc w:val="center"/>
            </w:pPr>
            <w:r>
              <w:t>? -- 0 -- 1 -- 2 -- 3 -- 4</w:t>
            </w: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spacing w:line="240" w:lineRule="auto"/>
            </w:pPr>
            <w:r>
              <w:t>Comments:</w:t>
            </w:r>
          </w:p>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lastRenderedPageBreak/>
              <w:t xml:space="preserve">6. </w:t>
            </w:r>
            <w:r>
              <w:rPr>
                <w:rFonts w:ascii="Karbon-Regular" w:eastAsia="Karbon-Regular" w:hAnsi="Karbon-Regular" w:cs="Karbon-Regular"/>
                <w:b/>
              </w:rPr>
              <w:t>For mobile students and recognition, credit transfer processes are included in the monitoring, review and validation procedures</w:t>
            </w:r>
          </w:p>
        </w:tc>
        <w:tc>
          <w:tcPr>
            <w:tcW w:w="4590" w:type="dxa"/>
            <w:shd w:val="clear" w:color="auto" w:fill="auto"/>
            <w:tcMar>
              <w:top w:w="100" w:type="dxa"/>
              <w:left w:w="100" w:type="dxa"/>
              <w:bottom w:w="100" w:type="dxa"/>
              <w:right w:w="100" w:type="dxa"/>
            </w:tcMar>
          </w:tcPr>
          <w:p w:rsidR="00864496" w:rsidRDefault="00B836A1">
            <w:pPr>
              <w:widowControl w:val="0"/>
              <w:spacing w:line="240" w:lineRule="auto"/>
              <w:jc w:val="center"/>
            </w:pPr>
            <w:r>
              <w:t>? -- 0 -- 1 -- 2 -- 3 -- 4</w:t>
            </w: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spacing w:line="240" w:lineRule="auto"/>
            </w:pPr>
            <w:r>
              <w:t>Comments:</w:t>
            </w:r>
          </w:p>
          <w:p w:rsidR="00864496" w:rsidRDefault="00864496">
            <w:pPr>
              <w:widowControl w:val="0"/>
              <w:spacing w:line="240" w:lineRule="auto"/>
            </w:pPr>
          </w:p>
          <w:p w:rsidR="00864496" w:rsidRDefault="00864496">
            <w:pPr>
              <w:widowControl w:val="0"/>
              <w:pBdr>
                <w:top w:val="nil"/>
                <w:left w:val="nil"/>
                <w:bottom w:val="nil"/>
                <w:right w:val="nil"/>
                <w:between w:val="nil"/>
              </w:pBdr>
              <w:spacing w:line="240" w:lineRule="auto"/>
            </w:pP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t xml:space="preserve">7. </w:t>
            </w:r>
            <w:r>
              <w:rPr>
                <w:rFonts w:ascii="Karbon-Regular" w:eastAsia="Karbon-Regular" w:hAnsi="Karbon-Regular" w:cs="Karbon-Regular"/>
                <w:b/>
              </w:rPr>
              <w:t>For mobile students and recognition, appropriate staff are designated as responsible for credit recognition and transfer matters</w:t>
            </w:r>
          </w:p>
        </w:tc>
        <w:tc>
          <w:tcPr>
            <w:tcW w:w="4590" w:type="dxa"/>
            <w:shd w:val="clear" w:color="auto" w:fill="auto"/>
            <w:tcMar>
              <w:top w:w="100" w:type="dxa"/>
              <w:left w:w="100" w:type="dxa"/>
              <w:bottom w:w="100" w:type="dxa"/>
              <w:right w:w="100" w:type="dxa"/>
            </w:tcMar>
          </w:tcPr>
          <w:p w:rsidR="00864496" w:rsidRDefault="00B836A1">
            <w:pPr>
              <w:widowControl w:val="0"/>
              <w:spacing w:line="240" w:lineRule="auto"/>
              <w:jc w:val="center"/>
            </w:pPr>
            <w:r>
              <w:t>? -- 0 -- 1 -- 2 -- 3 -- 4</w:t>
            </w: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spacing w:line="240" w:lineRule="auto"/>
            </w:pPr>
            <w:r>
              <w:t>Comments:</w:t>
            </w:r>
          </w:p>
          <w:p w:rsidR="00864496" w:rsidRDefault="00864496">
            <w:pPr>
              <w:widowControl w:val="0"/>
              <w:spacing w:line="240" w:lineRule="auto"/>
            </w:pPr>
          </w:p>
          <w:p w:rsidR="00864496" w:rsidRDefault="00864496">
            <w:pPr>
              <w:widowControl w:val="0"/>
              <w:spacing w:line="240" w:lineRule="auto"/>
            </w:pP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t xml:space="preserve">8. </w:t>
            </w:r>
            <w:r>
              <w:rPr>
                <w:rFonts w:ascii="Karbon-Regular" w:eastAsia="Karbon-Regular" w:hAnsi="Karbon-Regular" w:cs="Karbon-Regular"/>
                <w:b/>
              </w:rPr>
              <w:t>For mobile students and recognition, Learning Agreements are completed in all cases; their development, and any subsequent changes to them, are subject to sensitive yet robust approval processes</w:t>
            </w:r>
          </w:p>
        </w:tc>
        <w:tc>
          <w:tcPr>
            <w:tcW w:w="4590" w:type="dxa"/>
            <w:shd w:val="clear" w:color="auto" w:fill="auto"/>
            <w:tcMar>
              <w:top w:w="100" w:type="dxa"/>
              <w:left w:w="100" w:type="dxa"/>
              <w:bottom w:w="100" w:type="dxa"/>
              <w:right w:w="100" w:type="dxa"/>
            </w:tcMar>
          </w:tcPr>
          <w:p w:rsidR="00864496" w:rsidRDefault="00864496">
            <w:pPr>
              <w:widowControl w:val="0"/>
              <w:spacing w:line="240" w:lineRule="auto"/>
              <w:jc w:val="center"/>
            </w:pPr>
          </w:p>
          <w:p w:rsidR="00864496" w:rsidRDefault="00B836A1">
            <w:pPr>
              <w:widowControl w:val="0"/>
              <w:spacing w:line="240" w:lineRule="auto"/>
              <w:jc w:val="center"/>
            </w:pPr>
            <w:r>
              <w:t>? -- 0 -- 1 -- 2 -- 3 -- 4</w:t>
            </w: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spacing w:line="240" w:lineRule="auto"/>
            </w:pPr>
            <w:r>
              <w:t>Comments:</w:t>
            </w:r>
          </w:p>
          <w:p w:rsidR="00864496" w:rsidRDefault="00864496">
            <w:pPr>
              <w:widowControl w:val="0"/>
              <w:spacing w:line="240" w:lineRule="auto"/>
            </w:pPr>
          </w:p>
          <w:p w:rsidR="00864496" w:rsidRDefault="00864496">
            <w:pPr>
              <w:widowControl w:val="0"/>
              <w:pBdr>
                <w:top w:val="nil"/>
                <w:left w:val="nil"/>
                <w:bottom w:val="nil"/>
                <w:right w:val="nil"/>
                <w:between w:val="nil"/>
              </w:pBdr>
              <w:spacing w:line="240" w:lineRule="auto"/>
            </w:pP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widowControl w:val="0"/>
              <w:spacing w:line="240" w:lineRule="auto"/>
              <w:rPr>
                <w:rFonts w:ascii="Karbon-Regular" w:eastAsia="Karbon-Regular" w:hAnsi="Karbon-Regular" w:cs="Karbon-Regular"/>
                <w:b/>
              </w:rPr>
            </w:pPr>
            <w:r>
              <w:rPr>
                <w:b/>
              </w:rPr>
              <w:t xml:space="preserve"> 9. </w:t>
            </w:r>
            <w:r>
              <w:rPr>
                <w:rFonts w:ascii="Karbon-Regular" w:eastAsia="Karbon-Regular" w:hAnsi="Karbon-Regular" w:cs="Karbon-Regular"/>
                <w:b/>
              </w:rPr>
              <w:t>For mobile students and recognition, incoming mobile students undertake educational components from the existing Course Catalogue; they are assessed and graded like local students</w:t>
            </w:r>
          </w:p>
        </w:tc>
        <w:tc>
          <w:tcPr>
            <w:tcW w:w="4590" w:type="dxa"/>
            <w:shd w:val="clear" w:color="auto" w:fill="auto"/>
            <w:tcMar>
              <w:top w:w="100" w:type="dxa"/>
              <w:left w:w="100" w:type="dxa"/>
              <w:bottom w:w="100" w:type="dxa"/>
              <w:right w:w="100" w:type="dxa"/>
            </w:tcMar>
          </w:tcPr>
          <w:p w:rsidR="00864496" w:rsidRDefault="00864496">
            <w:pPr>
              <w:widowControl w:val="0"/>
              <w:spacing w:line="240" w:lineRule="auto"/>
              <w:jc w:val="center"/>
            </w:pPr>
          </w:p>
          <w:p w:rsidR="00864496" w:rsidRDefault="00B836A1">
            <w:pPr>
              <w:widowControl w:val="0"/>
              <w:spacing w:line="240" w:lineRule="auto"/>
              <w:jc w:val="center"/>
            </w:pPr>
            <w:r>
              <w:t>? -- 0 -- 1 -- 2 -- 3 -- 4</w:t>
            </w: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spacing w:line="240" w:lineRule="auto"/>
            </w:pPr>
            <w:r>
              <w:t>Comments:</w:t>
            </w:r>
          </w:p>
          <w:p w:rsidR="00864496" w:rsidRDefault="00864496">
            <w:pPr>
              <w:widowControl w:val="0"/>
              <w:spacing w:line="240" w:lineRule="auto"/>
            </w:pPr>
          </w:p>
          <w:p w:rsidR="00864496" w:rsidRDefault="00864496">
            <w:pPr>
              <w:widowControl w:val="0"/>
              <w:pBdr>
                <w:top w:val="nil"/>
                <w:left w:val="nil"/>
                <w:bottom w:val="nil"/>
                <w:right w:val="nil"/>
                <w:between w:val="nil"/>
              </w:pBdr>
              <w:spacing w:line="240" w:lineRule="auto"/>
            </w:pP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t xml:space="preserve">10. </w:t>
            </w:r>
            <w:r>
              <w:rPr>
                <w:rFonts w:ascii="Karbon-Regular" w:eastAsia="Karbon-Regular" w:hAnsi="Karbon-Regular" w:cs="Karbon-Regular"/>
                <w:b/>
              </w:rPr>
              <w:t>For mobile students and recognition, detailed transcripts are provided recording the credits and grades awarded</w:t>
            </w:r>
          </w:p>
        </w:tc>
        <w:tc>
          <w:tcPr>
            <w:tcW w:w="4590" w:type="dxa"/>
            <w:shd w:val="clear" w:color="auto" w:fill="auto"/>
            <w:tcMar>
              <w:top w:w="100" w:type="dxa"/>
              <w:left w:w="100" w:type="dxa"/>
              <w:bottom w:w="100" w:type="dxa"/>
              <w:right w:w="100" w:type="dxa"/>
            </w:tcMar>
          </w:tcPr>
          <w:p w:rsidR="00864496" w:rsidRDefault="00B836A1">
            <w:pPr>
              <w:widowControl w:val="0"/>
              <w:spacing w:line="240" w:lineRule="auto"/>
              <w:jc w:val="center"/>
            </w:pPr>
            <w:r>
              <w:t>? -- 0 -- 1 -- 2 -- 3 -- 4</w:t>
            </w: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spacing w:line="240" w:lineRule="auto"/>
            </w:pPr>
            <w:r>
              <w:lastRenderedPageBreak/>
              <w:t>Comments:</w:t>
            </w:r>
          </w:p>
          <w:p w:rsidR="00864496" w:rsidRDefault="00864496">
            <w:pPr>
              <w:widowControl w:val="0"/>
              <w:spacing w:line="240" w:lineRule="auto"/>
            </w:pPr>
          </w:p>
          <w:p w:rsidR="00864496" w:rsidRDefault="00864496">
            <w:pPr>
              <w:widowControl w:val="0"/>
              <w:pBdr>
                <w:top w:val="nil"/>
                <w:left w:val="nil"/>
                <w:bottom w:val="nil"/>
                <w:right w:val="nil"/>
                <w:between w:val="nil"/>
              </w:pBdr>
              <w:spacing w:line="240" w:lineRule="auto"/>
            </w:pP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t>11.</w:t>
            </w:r>
            <w:r>
              <w:t xml:space="preserve"> </w:t>
            </w:r>
            <w:r>
              <w:rPr>
                <w:rFonts w:ascii="Karbon-Regular" w:eastAsia="Karbon-Regular" w:hAnsi="Karbon-Regular" w:cs="Karbon-Regular"/>
                <w:b/>
              </w:rPr>
              <w:t>For mobile students and recognition, recognition is given to all credits associated with successfully completed educational  components undertaken as part of an approved Learning Agreement in its final version; results are issued and transmitted promptly</w:t>
            </w:r>
          </w:p>
        </w:tc>
        <w:tc>
          <w:tcPr>
            <w:tcW w:w="4590" w:type="dxa"/>
            <w:shd w:val="clear" w:color="auto" w:fill="auto"/>
            <w:tcMar>
              <w:top w:w="100" w:type="dxa"/>
              <w:left w:w="100" w:type="dxa"/>
              <w:bottom w:w="100" w:type="dxa"/>
              <w:right w:w="100" w:type="dxa"/>
            </w:tcMar>
          </w:tcPr>
          <w:p w:rsidR="00864496" w:rsidRDefault="00864496">
            <w:pPr>
              <w:widowControl w:val="0"/>
              <w:spacing w:line="240" w:lineRule="auto"/>
              <w:jc w:val="center"/>
            </w:pPr>
          </w:p>
          <w:p w:rsidR="00864496" w:rsidRDefault="00B836A1">
            <w:pPr>
              <w:widowControl w:val="0"/>
              <w:spacing w:line="240" w:lineRule="auto"/>
              <w:jc w:val="center"/>
            </w:pPr>
            <w:r>
              <w:t>? -- 0 -- 1 -- 2 -- 3 -- 4</w:t>
            </w: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spacing w:line="240" w:lineRule="auto"/>
            </w:pPr>
            <w:r>
              <w:t>Comments:</w:t>
            </w:r>
          </w:p>
          <w:p w:rsidR="00864496" w:rsidRDefault="00864496">
            <w:pPr>
              <w:widowControl w:val="0"/>
              <w:spacing w:line="240" w:lineRule="auto"/>
            </w:pPr>
          </w:p>
          <w:p w:rsidR="00864496" w:rsidRDefault="00864496">
            <w:pPr>
              <w:widowControl w:val="0"/>
              <w:pBdr>
                <w:top w:val="nil"/>
                <w:left w:val="nil"/>
                <w:bottom w:val="nil"/>
                <w:right w:val="nil"/>
                <w:between w:val="nil"/>
              </w:pBdr>
              <w:spacing w:line="240" w:lineRule="auto"/>
            </w:pP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t xml:space="preserve">12. </w:t>
            </w:r>
            <w:r>
              <w:rPr>
                <w:rFonts w:ascii="Karbon-Regular" w:eastAsia="Karbon-Regular" w:hAnsi="Karbon-Regular" w:cs="Karbon-Regular"/>
                <w:b/>
              </w:rPr>
              <w:t>For mobile students and recognition, grading tables exist for interpreting the grades awarded, so that grades – and not just credits – are properly reflected in any final qualifications gained</w:t>
            </w:r>
          </w:p>
        </w:tc>
        <w:tc>
          <w:tcPr>
            <w:tcW w:w="4590" w:type="dxa"/>
            <w:shd w:val="clear" w:color="auto" w:fill="auto"/>
            <w:tcMar>
              <w:top w:w="100" w:type="dxa"/>
              <w:left w:w="100" w:type="dxa"/>
              <w:bottom w:w="100" w:type="dxa"/>
              <w:right w:w="100" w:type="dxa"/>
            </w:tcMar>
          </w:tcPr>
          <w:p w:rsidR="00864496" w:rsidRDefault="00864496">
            <w:pPr>
              <w:widowControl w:val="0"/>
              <w:spacing w:line="240" w:lineRule="auto"/>
              <w:jc w:val="center"/>
            </w:pPr>
          </w:p>
          <w:p w:rsidR="00864496" w:rsidRDefault="00B836A1">
            <w:pPr>
              <w:widowControl w:val="0"/>
              <w:spacing w:line="240" w:lineRule="auto"/>
              <w:jc w:val="center"/>
            </w:pPr>
            <w:r>
              <w:t>? -- 0 -- 1 -- 2 -- 3 -- 4</w:t>
            </w: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spacing w:line="240" w:lineRule="auto"/>
            </w:pPr>
            <w:r>
              <w:t>Comments:</w:t>
            </w:r>
          </w:p>
          <w:p w:rsidR="00864496" w:rsidRDefault="00864496">
            <w:pPr>
              <w:widowControl w:val="0"/>
              <w:spacing w:line="240" w:lineRule="auto"/>
            </w:pPr>
          </w:p>
          <w:p w:rsidR="00864496" w:rsidRDefault="00864496">
            <w:pPr>
              <w:widowControl w:val="0"/>
              <w:pBdr>
                <w:top w:val="nil"/>
                <w:left w:val="nil"/>
                <w:bottom w:val="nil"/>
                <w:right w:val="nil"/>
                <w:between w:val="nil"/>
              </w:pBdr>
              <w:spacing w:line="240" w:lineRule="auto"/>
              <w:rPr>
                <w:b/>
              </w:rPr>
            </w:pP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t xml:space="preserve">13. </w:t>
            </w:r>
            <w:r>
              <w:rPr>
                <w:rFonts w:ascii="Karbon-Regular" w:eastAsia="Karbon-Regular" w:hAnsi="Karbon-Regular" w:cs="Karbon-Regular"/>
                <w:b/>
              </w:rPr>
              <w:t>Student representatives are actively engaged in internal quality assurance, where students provide information (by responding to surveys on a regular basis, focus groups); participate in the preparation of the institutions’ self-assessment reports; are act</w:t>
            </w:r>
            <w:r>
              <w:rPr>
                <w:rFonts w:ascii="Karbon-Regular" w:eastAsia="Karbon-Regular" w:hAnsi="Karbon-Regular" w:cs="Karbon-Regular"/>
                <w:b/>
              </w:rPr>
              <w:t>ively engaged in the bodies responsible for internal quality assurance processes and monitoring of the ECTS credit allocation</w:t>
            </w:r>
          </w:p>
        </w:tc>
        <w:tc>
          <w:tcPr>
            <w:tcW w:w="4590" w:type="dxa"/>
            <w:shd w:val="clear" w:color="auto" w:fill="auto"/>
            <w:tcMar>
              <w:top w:w="100" w:type="dxa"/>
              <w:left w:w="100" w:type="dxa"/>
              <w:bottom w:w="100" w:type="dxa"/>
              <w:right w:w="100" w:type="dxa"/>
            </w:tcMar>
          </w:tcPr>
          <w:p w:rsidR="00864496" w:rsidRDefault="00864496">
            <w:pPr>
              <w:widowControl w:val="0"/>
              <w:spacing w:line="240" w:lineRule="auto"/>
              <w:jc w:val="center"/>
            </w:pPr>
          </w:p>
          <w:p w:rsidR="00864496" w:rsidRDefault="00864496">
            <w:pPr>
              <w:widowControl w:val="0"/>
              <w:spacing w:line="240" w:lineRule="auto"/>
              <w:jc w:val="center"/>
            </w:pPr>
          </w:p>
          <w:p w:rsidR="00864496" w:rsidRDefault="00B836A1">
            <w:pPr>
              <w:widowControl w:val="0"/>
              <w:spacing w:line="240" w:lineRule="auto"/>
              <w:jc w:val="center"/>
            </w:pPr>
            <w:r>
              <w:t>? -- 0 -- 1 -- 2 -- 3 -- 4</w:t>
            </w:r>
          </w:p>
          <w:p w:rsidR="00864496" w:rsidRDefault="00864496">
            <w:pPr>
              <w:widowControl w:val="0"/>
              <w:pBdr>
                <w:top w:val="nil"/>
                <w:left w:val="nil"/>
                <w:bottom w:val="nil"/>
                <w:right w:val="nil"/>
                <w:between w:val="nil"/>
              </w:pBdr>
              <w:spacing w:line="240" w:lineRule="auto"/>
            </w:pP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spacing w:line="240" w:lineRule="auto"/>
            </w:pPr>
            <w:r>
              <w:t>Comments:</w:t>
            </w:r>
          </w:p>
          <w:p w:rsidR="00864496" w:rsidRDefault="00864496">
            <w:pPr>
              <w:widowControl w:val="0"/>
              <w:spacing w:line="240" w:lineRule="auto"/>
            </w:pPr>
          </w:p>
          <w:p w:rsidR="00864496" w:rsidRDefault="00864496">
            <w:pPr>
              <w:widowControl w:val="0"/>
              <w:pBdr>
                <w:top w:val="nil"/>
                <w:left w:val="nil"/>
                <w:bottom w:val="nil"/>
                <w:right w:val="nil"/>
                <w:between w:val="nil"/>
              </w:pBdr>
              <w:spacing w:line="240" w:lineRule="auto"/>
            </w:pPr>
          </w:p>
        </w:tc>
      </w:tr>
      <w:tr w:rsidR="00864496">
        <w:trPr>
          <w:trHeight w:val="420"/>
        </w:trPr>
        <w:tc>
          <w:tcPr>
            <w:tcW w:w="8370"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t xml:space="preserve">14. </w:t>
            </w:r>
            <w:r>
              <w:rPr>
                <w:rFonts w:ascii="Karbon-Regular" w:eastAsia="Karbon-Regular" w:hAnsi="Karbon-Regular" w:cs="Karbon-Regular"/>
                <w:b/>
              </w:rPr>
              <w:t xml:space="preserve">Student representatives are actively engaged in external quality assurance, where students are members of external review panels of higher education institutions and/or </w:t>
            </w:r>
            <w:proofErr w:type="spellStart"/>
            <w:r>
              <w:rPr>
                <w:rFonts w:ascii="Karbon-Regular" w:eastAsia="Karbon-Regular" w:hAnsi="Karbon-Regular" w:cs="Karbon-Regular"/>
                <w:b/>
              </w:rPr>
              <w:t>programmes</w:t>
            </w:r>
            <w:proofErr w:type="spellEnd"/>
          </w:p>
        </w:tc>
        <w:tc>
          <w:tcPr>
            <w:tcW w:w="4590" w:type="dxa"/>
            <w:shd w:val="clear" w:color="auto" w:fill="auto"/>
            <w:tcMar>
              <w:top w:w="100" w:type="dxa"/>
              <w:left w:w="100" w:type="dxa"/>
              <w:bottom w:w="100" w:type="dxa"/>
              <w:right w:w="100" w:type="dxa"/>
            </w:tcMar>
          </w:tcPr>
          <w:p w:rsidR="00864496" w:rsidRDefault="00864496">
            <w:pPr>
              <w:widowControl w:val="0"/>
              <w:spacing w:line="240" w:lineRule="auto"/>
              <w:jc w:val="center"/>
            </w:pPr>
          </w:p>
          <w:p w:rsidR="00864496" w:rsidRDefault="00B836A1">
            <w:pPr>
              <w:widowControl w:val="0"/>
              <w:spacing w:line="240" w:lineRule="auto"/>
              <w:jc w:val="center"/>
            </w:pPr>
            <w:r>
              <w:t>? -- 0 -- 1 -- 2 -- 3 -- 4</w:t>
            </w:r>
          </w:p>
          <w:p w:rsidR="00864496" w:rsidRDefault="00864496">
            <w:pPr>
              <w:widowControl w:val="0"/>
              <w:pBdr>
                <w:top w:val="nil"/>
                <w:left w:val="nil"/>
                <w:bottom w:val="nil"/>
                <w:right w:val="nil"/>
                <w:between w:val="nil"/>
              </w:pBdr>
              <w:spacing w:line="240" w:lineRule="auto"/>
            </w:pPr>
          </w:p>
        </w:tc>
      </w:tr>
      <w:tr w:rsidR="00864496">
        <w:trPr>
          <w:trHeight w:val="420"/>
        </w:trPr>
        <w:tc>
          <w:tcPr>
            <w:tcW w:w="12960" w:type="dxa"/>
            <w:gridSpan w:val="2"/>
            <w:shd w:val="clear" w:color="auto" w:fill="auto"/>
            <w:tcMar>
              <w:top w:w="100" w:type="dxa"/>
              <w:left w:w="100" w:type="dxa"/>
              <w:bottom w:w="100" w:type="dxa"/>
              <w:right w:w="100" w:type="dxa"/>
            </w:tcMar>
          </w:tcPr>
          <w:p w:rsidR="00864496" w:rsidRDefault="00B836A1">
            <w:pPr>
              <w:widowControl w:val="0"/>
              <w:spacing w:line="240" w:lineRule="auto"/>
            </w:pPr>
            <w:r>
              <w:t>Comments:</w:t>
            </w:r>
          </w:p>
          <w:p w:rsidR="00864496" w:rsidRDefault="00864496">
            <w:pPr>
              <w:widowControl w:val="0"/>
              <w:pBdr>
                <w:top w:val="nil"/>
                <w:left w:val="nil"/>
                <w:bottom w:val="nil"/>
                <w:right w:val="nil"/>
                <w:between w:val="nil"/>
              </w:pBdr>
              <w:spacing w:line="240" w:lineRule="auto"/>
            </w:pPr>
          </w:p>
        </w:tc>
      </w:tr>
    </w:tbl>
    <w:p w:rsidR="00864496" w:rsidRDefault="00864496"/>
    <w:p w:rsidR="00864496" w:rsidRDefault="00864496"/>
    <w:p w:rsidR="00864496" w:rsidRDefault="00B836A1">
      <w:pPr>
        <w:pStyle w:val="Heading2"/>
        <w:rPr>
          <w:u w:val="single"/>
        </w:rPr>
      </w:pPr>
      <w:bookmarkStart w:id="2" w:name="_hhwbau47x4r6" w:colFirst="0" w:colLast="0"/>
      <w:bookmarkEnd w:id="2"/>
      <w:r>
        <w:rPr>
          <w:u w:val="single"/>
        </w:rPr>
        <w:t>II. Quality and completeness of supporting documents:</w:t>
      </w:r>
    </w:p>
    <w:p w:rsidR="00864496" w:rsidRDefault="00864496"/>
    <w:p w:rsidR="00864496" w:rsidRDefault="00B836A1">
      <w:pPr>
        <w:jc w:val="both"/>
      </w:pPr>
      <w:r>
        <w:t>Please read carefully the following extract of the ECTS Users’ Guide (pp. 54-61) and comment whether you currently have the following supporting documents and if so, comment on the extent of their comp</w:t>
      </w:r>
      <w:r>
        <w:t>leteness or compliance with the ECTS Users’ Guide requirements.</w:t>
      </w:r>
    </w:p>
    <w:p w:rsidR="00864496" w:rsidRDefault="00864496">
      <w:pPr>
        <w:jc w:val="both"/>
      </w:pPr>
    </w:p>
    <w:p w:rsidR="00864496" w:rsidRDefault="00864496">
      <w:pPr>
        <w:jc w:val="both"/>
      </w:pPr>
    </w:p>
    <w:tbl>
      <w:tblPr>
        <w:tblStyle w:val="a0"/>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95"/>
        <w:gridCol w:w="10365"/>
      </w:tblGrid>
      <w:tr w:rsidR="00864496">
        <w:tc>
          <w:tcPr>
            <w:tcW w:w="2595"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t>Supporting document</w:t>
            </w:r>
          </w:p>
        </w:tc>
        <w:tc>
          <w:tcPr>
            <w:tcW w:w="10365" w:type="dxa"/>
            <w:shd w:val="clear" w:color="auto" w:fill="auto"/>
            <w:tcMar>
              <w:top w:w="100" w:type="dxa"/>
              <w:left w:w="100" w:type="dxa"/>
              <w:bottom w:w="100" w:type="dxa"/>
              <w:right w:w="100" w:type="dxa"/>
            </w:tcMar>
          </w:tcPr>
          <w:p w:rsidR="00864496" w:rsidRDefault="00B836A1">
            <w:pPr>
              <w:widowControl w:val="0"/>
              <w:pBdr>
                <w:top w:val="nil"/>
                <w:left w:val="nil"/>
                <w:bottom w:val="nil"/>
                <w:right w:val="nil"/>
                <w:between w:val="nil"/>
              </w:pBdr>
              <w:spacing w:line="240" w:lineRule="auto"/>
              <w:rPr>
                <w:b/>
              </w:rPr>
            </w:pPr>
            <w:r>
              <w:rPr>
                <w:b/>
              </w:rPr>
              <w:t>Comments</w:t>
            </w:r>
          </w:p>
        </w:tc>
      </w:tr>
      <w:tr w:rsidR="00864496">
        <w:tc>
          <w:tcPr>
            <w:tcW w:w="2595" w:type="dxa"/>
            <w:shd w:val="clear" w:color="auto" w:fill="auto"/>
            <w:tcMar>
              <w:top w:w="100" w:type="dxa"/>
              <w:left w:w="100" w:type="dxa"/>
              <w:bottom w:w="100" w:type="dxa"/>
              <w:right w:w="100" w:type="dxa"/>
            </w:tcMar>
          </w:tcPr>
          <w:p w:rsidR="00864496" w:rsidRDefault="00B836A1">
            <w:pPr>
              <w:spacing w:line="240" w:lineRule="auto"/>
              <w:rPr>
                <w:i/>
              </w:rPr>
            </w:pPr>
            <w:r>
              <w:rPr>
                <w:b/>
                <w:i/>
              </w:rPr>
              <w:t>Course Catalogue</w:t>
            </w:r>
          </w:p>
        </w:tc>
        <w:tc>
          <w:tcPr>
            <w:tcW w:w="10365" w:type="dxa"/>
            <w:shd w:val="clear" w:color="auto" w:fill="auto"/>
            <w:tcMar>
              <w:top w:w="100" w:type="dxa"/>
              <w:left w:w="100" w:type="dxa"/>
              <w:bottom w:w="100" w:type="dxa"/>
              <w:right w:w="100" w:type="dxa"/>
            </w:tcMar>
          </w:tcPr>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tc>
      </w:tr>
      <w:tr w:rsidR="00864496">
        <w:tc>
          <w:tcPr>
            <w:tcW w:w="2595" w:type="dxa"/>
            <w:shd w:val="clear" w:color="auto" w:fill="auto"/>
            <w:tcMar>
              <w:top w:w="100" w:type="dxa"/>
              <w:left w:w="100" w:type="dxa"/>
              <w:bottom w:w="100" w:type="dxa"/>
              <w:right w:w="100" w:type="dxa"/>
            </w:tcMar>
          </w:tcPr>
          <w:p w:rsidR="00864496" w:rsidRDefault="00B836A1">
            <w:pPr>
              <w:spacing w:line="240" w:lineRule="auto"/>
              <w:rPr>
                <w:b/>
                <w:i/>
              </w:rPr>
            </w:pPr>
            <w:r>
              <w:rPr>
                <w:b/>
                <w:i/>
              </w:rPr>
              <w:t>The Learning Agreement</w:t>
            </w:r>
          </w:p>
        </w:tc>
        <w:tc>
          <w:tcPr>
            <w:tcW w:w="10365" w:type="dxa"/>
            <w:shd w:val="clear" w:color="auto" w:fill="auto"/>
            <w:tcMar>
              <w:top w:w="100" w:type="dxa"/>
              <w:left w:w="100" w:type="dxa"/>
              <w:bottom w:w="100" w:type="dxa"/>
              <w:right w:w="100" w:type="dxa"/>
            </w:tcMar>
          </w:tcPr>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tc>
      </w:tr>
      <w:tr w:rsidR="00864496">
        <w:tc>
          <w:tcPr>
            <w:tcW w:w="2595" w:type="dxa"/>
            <w:shd w:val="clear" w:color="auto" w:fill="auto"/>
            <w:tcMar>
              <w:top w:w="100" w:type="dxa"/>
              <w:left w:w="100" w:type="dxa"/>
              <w:bottom w:w="100" w:type="dxa"/>
              <w:right w:w="100" w:type="dxa"/>
            </w:tcMar>
          </w:tcPr>
          <w:p w:rsidR="00864496" w:rsidRDefault="00B836A1">
            <w:pPr>
              <w:spacing w:line="240" w:lineRule="auto"/>
              <w:rPr>
                <w:rFonts w:ascii="Karbon-Regular" w:eastAsia="Karbon-Regular" w:hAnsi="Karbon-Regular" w:cs="Karbon-Regular"/>
                <w:b/>
                <w:i/>
              </w:rPr>
            </w:pPr>
            <w:r>
              <w:rPr>
                <w:b/>
                <w:i/>
              </w:rPr>
              <w:t>Transcript of Records</w:t>
            </w:r>
          </w:p>
        </w:tc>
        <w:tc>
          <w:tcPr>
            <w:tcW w:w="10365" w:type="dxa"/>
            <w:shd w:val="clear" w:color="auto" w:fill="auto"/>
            <w:tcMar>
              <w:top w:w="100" w:type="dxa"/>
              <w:left w:w="100" w:type="dxa"/>
              <w:bottom w:w="100" w:type="dxa"/>
              <w:right w:w="100" w:type="dxa"/>
            </w:tcMar>
          </w:tcPr>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tc>
      </w:tr>
      <w:tr w:rsidR="00864496">
        <w:tc>
          <w:tcPr>
            <w:tcW w:w="2595" w:type="dxa"/>
            <w:shd w:val="clear" w:color="auto" w:fill="auto"/>
            <w:tcMar>
              <w:top w:w="100" w:type="dxa"/>
              <w:left w:w="100" w:type="dxa"/>
              <w:bottom w:w="100" w:type="dxa"/>
              <w:right w:w="100" w:type="dxa"/>
            </w:tcMar>
          </w:tcPr>
          <w:p w:rsidR="00864496" w:rsidRDefault="00EE156E">
            <w:pPr>
              <w:spacing w:line="240" w:lineRule="auto"/>
              <w:rPr>
                <w:b/>
                <w:i/>
              </w:rPr>
            </w:pPr>
            <w:r>
              <w:rPr>
                <w:b/>
                <w:i/>
              </w:rPr>
              <w:t>Diploma Supplement</w:t>
            </w:r>
          </w:p>
        </w:tc>
        <w:tc>
          <w:tcPr>
            <w:tcW w:w="10365" w:type="dxa"/>
            <w:shd w:val="clear" w:color="auto" w:fill="auto"/>
            <w:tcMar>
              <w:top w:w="100" w:type="dxa"/>
              <w:left w:w="100" w:type="dxa"/>
              <w:bottom w:w="100" w:type="dxa"/>
              <w:right w:w="100" w:type="dxa"/>
            </w:tcMar>
          </w:tcPr>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p w:rsidR="00864496" w:rsidRDefault="00864496">
            <w:pPr>
              <w:widowControl w:val="0"/>
              <w:pBdr>
                <w:top w:val="nil"/>
                <w:left w:val="nil"/>
                <w:bottom w:val="nil"/>
                <w:right w:val="nil"/>
                <w:between w:val="nil"/>
              </w:pBdr>
              <w:spacing w:line="240" w:lineRule="auto"/>
            </w:pPr>
          </w:p>
        </w:tc>
      </w:tr>
    </w:tbl>
    <w:p w:rsidR="00864496" w:rsidRDefault="00864496">
      <w:pPr>
        <w:jc w:val="both"/>
      </w:pPr>
    </w:p>
    <w:p w:rsidR="00864496" w:rsidRDefault="00864496">
      <w:pPr>
        <w:jc w:val="both"/>
      </w:pPr>
    </w:p>
    <w:p w:rsidR="00864496" w:rsidRDefault="00B836A1">
      <w:pPr>
        <w:pStyle w:val="Heading2"/>
        <w:jc w:val="both"/>
        <w:rPr>
          <w:u w:val="single"/>
        </w:rPr>
      </w:pPr>
      <w:bookmarkStart w:id="3" w:name="_b899dnijnikt" w:colFirst="0" w:colLast="0"/>
      <w:bookmarkEnd w:id="3"/>
      <w:r>
        <w:rPr>
          <w:u w:val="single"/>
        </w:rPr>
        <w:lastRenderedPageBreak/>
        <w:t>III. Moving forward: priorities/mini action plan</w:t>
      </w:r>
    </w:p>
    <w:p w:rsidR="00864496" w:rsidRDefault="00B836A1">
      <w:r>
        <w:t>Please re-read your responses in the sections I &amp; II above, as well as any notes you might have taken so far. After this, please identify the areas for you/your institution to focus on in the upcoming months in order to move closer to the full compliance w</w:t>
      </w:r>
      <w:r>
        <w:t>ith ECTS Users’ guide requirements - What aspects should you focus on first? What do you see as top priorities and why? What kind of support will faculty/staff</w:t>
      </w:r>
      <w:r w:rsidR="00EE156E">
        <w:t>/students</w:t>
      </w:r>
      <w:r>
        <w:t xml:space="preserve"> at your institution require in order for these aims to be achieved?</w:t>
      </w:r>
    </w:p>
    <w:p w:rsidR="00864496" w:rsidRDefault="00864496"/>
    <w:p w:rsidR="00864496" w:rsidRDefault="00B836A1">
      <w:r>
        <w:rPr>
          <w:b/>
        </w:rPr>
        <w:t>Aspects to focus on/top pri</w:t>
      </w:r>
      <w:r>
        <w:rPr>
          <w:b/>
        </w:rPr>
        <w:t>orities</w:t>
      </w:r>
      <w:r>
        <w:t>:</w:t>
      </w:r>
    </w:p>
    <w:p w:rsidR="00864496" w:rsidRDefault="00864496"/>
    <w:p w:rsidR="00864496" w:rsidRDefault="00864496"/>
    <w:p w:rsidR="00864496" w:rsidRDefault="00864496"/>
    <w:p w:rsidR="00864496" w:rsidRDefault="00864496"/>
    <w:p w:rsidR="00864496" w:rsidRDefault="00864496"/>
    <w:p w:rsidR="00864496" w:rsidRDefault="00864496"/>
    <w:p w:rsidR="00864496" w:rsidRDefault="00864496"/>
    <w:p w:rsidR="00864496" w:rsidRDefault="00864496"/>
    <w:p w:rsidR="00864496" w:rsidRDefault="00B836A1">
      <w:r>
        <w:rPr>
          <w:b/>
        </w:rPr>
        <w:t>Related staff/faculty</w:t>
      </w:r>
      <w:r>
        <w:rPr>
          <w:b/>
        </w:rPr>
        <w:t xml:space="preserve"> development needs</w:t>
      </w:r>
      <w:r>
        <w:t xml:space="preserve">: </w:t>
      </w:r>
    </w:p>
    <w:p w:rsidR="002A63FA" w:rsidRDefault="002A63FA"/>
    <w:p w:rsidR="002A63FA" w:rsidRDefault="002A63FA"/>
    <w:p w:rsidR="002A63FA" w:rsidRDefault="002A63FA"/>
    <w:p w:rsidR="002A63FA" w:rsidRDefault="002A63FA"/>
    <w:p w:rsidR="002A63FA" w:rsidRPr="002A63FA" w:rsidRDefault="002A63FA">
      <w:pPr>
        <w:rPr>
          <w:b/>
        </w:rPr>
      </w:pPr>
      <w:r w:rsidRPr="002A63FA">
        <w:rPr>
          <w:b/>
        </w:rPr>
        <w:t>Concrete actions:</w:t>
      </w:r>
      <w:bookmarkStart w:id="4" w:name="_GoBack"/>
      <w:bookmarkEnd w:id="4"/>
    </w:p>
    <w:sectPr w:rsidR="002A63FA" w:rsidRPr="002A63FA">
      <w:pgSz w:w="15840" w:h="122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arbon-Regular">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496"/>
    <w:rsid w:val="002A63FA"/>
    <w:rsid w:val="00864496"/>
    <w:rsid w:val="00B836A1"/>
    <w:rsid w:val="00EE15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7B9CC"/>
  <w15:docId w15:val="{0415E55C-7373-40E3-BC6D-D6221305C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774</Words>
  <Characters>4261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Groningen</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 Yarosh</cp:lastModifiedBy>
  <cp:revision>3</cp:revision>
  <dcterms:created xsi:type="dcterms:W3CDTF">2020-02-26T14:33:00Z</dcterms:created>
  <dcterms:modified xsi:type="dcterms:W3CDTF">2020-02-26T15:36:00Z</dcterms:modified>
</cp:coreProperties>
</file>